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64EA0" w:rsidRPr="00E058E3" w:rsidRDefault="00992F39" w:rsidP="00992F39">
      <w:pPr>
        <w:spacing w:line="360" w:lineRule="auto"/>
        <w:jc w:val="center"/>
        <w:rPr>
          <w:b/>
          <w:u w:val="single"/>
        </w:rPr>
      </w:pPr>
      <w:r w:rsidRPr="00E058E3">
        <w:rPr>
          <w:b/>
          <w:u w:val="single"/>
        </w:rPr>
        <w:t>O</w:t>
      </w:r>
      <w:r w:rsidR="00C53FDF" w:rsidRPr="00E058E3">
        <w:rPr>
          <w:b/>
          <w:u w:val="single"/>
        </w:rPr>
        <w:t xml:space="preserve">strzeżenie </w:t>
      </w:r>
      <w:r w:rsidR="00927E28" w:rsidRPr="00E058E3">
        <w:rPr>
          <w:b/>
          <w:u w:val="single"/>
        </w:rPr>
        <w:t>publiczne dotyczące żywności</w:t>
      </w:r>
      <w:r w:rsidR="00C53FDF" w:rsidRPr="00E058E3">
        <w:rPr>
          <w:b/>
          <w:u w:val="single"/>
        </w:rPr>
        <w:t>:</w:t>
      </w:r>
    </w:p>
    <w:p w:rsidR="004D530C" w:rsidRPr="00E058E3" w:rsidRDefault="00DE1601" w:rsidP="00DE1601">
      <w:pPr>
        <w:pStyle w:val="Default"/>
        <w:jc w:val="center"/>
        <w:rPr>
          <w:color w:val="auto"/>
        </w:rPr>
      </w:pPr>
      <w:r w:rsidRPr="00E058E3">
        <w:rPr>
          <w:b/>
          <w:color w:val="auto"/>
        </w:rPr>
        <w:t>Brak informacji o składniku alergennym (orzechach) na etykiecie</w:t>
      </w:r>
      <w:r w:rsidR="00732E3C" w:rsidRPr="00E058E3">
        <w:rPr>
          <w:b/>
          <w:color w:val="auto"/>
        </w:rPr>
        <w:t xml:space="preserve"> </w:t>
      </w:r>
      <w:r w:rsidRPr="00E058E3">
        <w:rPr>
          <w:b/>
          <w:color w:val="auto"/>
        </w:rPr>
        <w:t xml:space="preserve">lodów </w:t>
      </w:r>
      <w:r w:rsidR="005B4319" w:rsidRPr="00E058E3">
        <w:rPr>
          <w:b/>
          <w:color w:val="auto"/>
        </w:rPr>
        <w:t>„</w:t>
      </w:r>
      <w:r w:rsidRPr="00E058E3">
        <w:rPr>
          <w:b/>
          <w:color w:val="auto"/>
        </w:rPr>
        <w:t>Häagen Dazs Macadamia Nut Brittle 500ml</w:t>
      </w:r>
      <w:r w:rsidR="005B4319" w:rsidRPr="00E058E3">
        <w:rPr>
          <w:b/>
          <w:color w:val="auto"/>
        </w:rPr>
        <w:t>”</w:t>
      </w:r>
      <w:r w:rsidR="00541226" w:rsidRPr="00E058E3">
        <w:rPr>
          <w:b/>
          <w:color w:val="auto"/>
        </w:rPr>
        <w:t xml:space="preserve"> sprzedanych w Polsce w okresie 5 marca – 6 czerwca 2015</w:t>
      </w:r>
    </w:p>
    <w:p w:rsidR="00D12E3A" w:rsidRPr="00E058E3" w:rsidRDefault="00D12E3A" w:rsidP="00D12E3A">
      <w:pPr>
        <w:spacing w:line="360" w:lineRule="auto"/>
        <w:jc w:val="both"/>
      </w:pPr>
    </w:p>
    <w:p w:rsidR="006B3E52" w:rsidRPr="00E058E3" w:rsidRDefault="006B3E52" w:rsidP="00D12E3A">
      <w:pPr>
        <w:spacing w:line="360" w:lineRule="auto"/>
        <w:jc w:val="both"/>
        <w:rPr>
          <w:u w:val="single"/>
        </w:rPr>
      </w:pPr>
    </w:p>
    <w:p w:rsidR="00DE1601" w:rsidRPr="00E058E3" w:rsidRDefault="00DE1601" w:rsidP="00DE1601">
      <w:pPr>
        <w:spacing w:line="360" w:lineRule="auto"/>
        <w:jc w:val="both"/>
        <w:rPr>
          <w:bCs/>
        </w:rPr>
      </w:pPr>
      <w:r w:rsidRPr="00E058E3">
        <w:rPr>
          <w:bCs/>
        </w:rPr>
        <w:t xml:space="preserve">Firma General Mills GmbH poinformowała o wprowadzeniu dobrowolnie, jako środka zapobiegawczego, wycofania z rynku swojego produktu – lodów Häagen Dazs Macadamia Nut Brittle 500ml sprzedanych w Polsce w okresie od 5 marca do 6 czerwca 2015 r. </w:t>
      </w:r>
    </w:p>
    <w:p w:rsidR="00DE1601" w:rsidRPr="00E058E3" w:rsidRDefault="00DE1601" w:rsidP="00DE1601">
      <w:pPr>
        <w:spacing w:line="360" w:lineRule="auto"/>
        <w:jc w:val="both"/>
        <w:rPr>
          <w:bCs/>
        </w:rPr>
      </w:pPr>
    </w:p>
    <w:p w:rsidR="00D12E3A" w:rsidRPr="00E058E3" w:rsidRDefault="00417AB3" w:rsidP="00DE1601">
      <w:pPr>
        <w:spacing w:line="360" w:lineRule="auto"/>
        <w:jc w:val="both"/>
        <w:rPr>
          <w:bCs/>
          <w:u w:val="single"/>
        </w:rPr>
      </w:pPr>
      <w:r w:rsidRPr="00E058E3">
        <w:rPr>
          <w:bCs/>
          <w:u w:val="single"/>
        </w:rPr>
        <w:t>Zagrożenie</w:t>
      </w:r>
      <w:r w:rsidR="00D12E3A" w:rsidRPr="00E058E3">
        <w:rPr>
          <w:bCs/>
          <w:u w:val="single"/>
        </w:rPr>
        <w:t>:</w:t>
      </w:r>
    </w:p>
    <w:p w:rsidR="00DE1601" w:rsidRPr="00E058E3" w:rsidRDefault="00DE1601" w:rsidP="00DE1601">
      <w:pPr>
        <w:spacing w:line="360" w:lineRule="auto"/>
        <w:jc w:val="both"/>
        <w:rPr>
          <w:bCs/>
        </w:rPr>
      </w:pPr>
      <w:r w:rsidRPr="00E058E3">
        <w:rPr>
          <w:bCs/>
        </w:rPr>
        <w:t>Produkt został oznakowany etykietą zawierającą nieprawidłową listę składników</w:t>
      </w:r>
      <w:r w:rsidR="00DE37BA" w:rsidRPr="00E058E3">
        <w:rPr>
          <w:bCs/>
        </w:rPr>
        <w:t>. Orzechy nie zostały wskazane na liście składników, pomimo, że zna</w:t>
      </w:r>
      <w:r w:rsidR="0016373A">
        <w:rPr>
          <w:bCs/>
        </w:rPr>
        <w:t>jdowały się w składzie produktu</w:t>
      </w:r>
      <w:r w:rsidR="007535F1" w:rsidRPr="00E058E3">
        <w:rPr>
          <w:bCs/>
        </w:rPr>
        <w:t>. Tym samym produkt</w:t>
      </w:r>
      <w:r w:rsidRPr="00E058E3">
        <w:rPr>
          <w:bCs/>
        </w:rPr>
        <w:t xml:space="preserve"> może stanowić potencjalne zagrożenie dla osób, które mają uczulenie na orzechy. </w:t>
      </w:r>
    </w:p>
    <w:p w:rsidR="00732E3C" w:rsidRPr="00E058E3" w:rsidRDefault="00732E3C" w:rsidP="00D12E3A">
      <w:pPr>
        <w:spacing w:line="360" w:lineRule="auto"/>
        <w:jc w:val="both"/>
      </w:pPr>
    </w:p>
    <w:p w:rsidR="00DE37BA" w:rsidRPr="00461CE5" w:rsidRDefault="00DE37BA" w:rsidP="00D12E3A">
      <w:pPr>
        <w:spacing w:line="360" w:lineRule="auto"/>
        <w:jc w:val="both"/>
        <w:rPr>
          <w:u w:val="single"/>
        </w:rPr>
      </w:pPr>
      <w:r w:rsidRPr="00461CE5">
        <w:rPr>
          <w:u w:val="single"/>
        </w:rPr>
        <w:t>Zalecenia dla klientów</w:t>
      </w:r>
      <w:r w:rsidR="00461CE5">
        <w:rPr>
          <w:u w:val="single"/>
        </w:rPr>
        <w:t>:</w:t>
      </w:r>
    </w:p>
    <w:p w:rsidR="00240E2E" w:rsidRPr="00E058E3" w:rsidRDefault="00DE37BA" w:rsidP="00D12E3A">
      <w:pPr>
        <w:spacing w:line="360" w:lineRule="auto"/>
        <w:jc w:val="both"/>
      </w:pPr>
      <w:r w:rsidRPr="00E058E3">
        <w:t>Klienci, którzy kupili</w:t>
      </w:r>
      <w:r w:rsidR="00461CE5">
        <w:t xml:space="preserve"> lody</w:t>
      </w:r>
      <w:r w:rsidRPr="00E058E3">
        <w:t xml:space="preserve"> „Häagen Dazs Macadamia Nut Brittle 500ml” sprzedawane w Polsce w okresie 5 marca – 6 czerwca 2015 nie powinni ich spożywać, jeśli są uczuleni na orzechy. Zaleca się zwrot wskazanego produktu w miejscu</w:t>
      </w:r>
      <w:r w:rsidR="00461CE5">
        <w:t>,</w:t>
      </w:r>
      <w:r w:rsidRPr="00E058E3">
        <w:t xml:space="preserve"> w którym dokonano zakupu lub kontak</w:t>
      </w:r>
      <w:r w:rsidR="00785AE1">
        <w:t>t</w:t>
      </w:r>
      <w:bookmarkStart w:id="0" w:name="_GoBack"/>
      <w:bookmarkEnd w:id="0"/>
      <w:r w:rsidRPr="00E058E3">
        <w:t xml:space="preserve"> z firmą w celu zwrotu pieniędzy.</w:t>
      </w:r>
    </w:p>
    <w:p w:rsidR="00DE37BA" w:rsidRPr="00E058E3" w:rsidRDefault="00DE37BA" w:rsidP="00D12E3A">
      <w:pPr>
        <w:spacing w:line="360" w:lineRule="auto"/>
        <w:jc w:val="both"/>
      </w:pPr>
    </w:p>
    <w:p w:rsidR="00417AB3" w:rsidRPr="00E058E3" w:rsidRDefault="00417AB3" w:rsidP="00D12E3A">
      <w:pPr>
        <w:spacing w:line="360" w:lineRule="auto"/>
        <w:jc w:val="both"/>
      </w:pPr>
      <w:r w:rsidRPr="00E058E3">
        <w:rPr>
          <w:u w:val="single"/>
        </w:rPr>
        <w:t>Szczegóły dotyczące produktu</w:t>
      </w:r>
      <w:r w:rsidRPr="00E058E3">
        <w:t>:</w:t>
      </w:r>
    </w:p>
    <w:p w:rsidR="00541226" w:rsidRPr="00461CE5" w:rsidRDefault="00417AB3" w:rsidP="00461CE5">
      <w:pPr>
        <w:pStyle w:val="Default"/>
        <w:spacing w:line="360" w:lineRule="auto"/>
        <w:rPr>
          <w:rFonts w:ascii="Times New Roman" w:hAnsi="Times New Roman" w:cs="Times New Roman"/>
          <w:color w:val="auto"/>
        </w:rPr>
      </w:pPr>
      <w:r w:rsidRPr="00461CE5">
        <w:rPr>
          <w:rFonts w:ascii="Times New Roman" w:hAnsi="Times New Roman" w:cs="Times New Roman"/>
          <w:color w:val="auto"/>
        </w:rPr>
        <w:t xml:space="preserve">Produkt </w:t>
      </w:r>
      <w:r w:rsidR="004D530C" w:rsidRPr="00461CE5">
        <w:rPr>
          <w:rFonts w:ascii="Times New Roman" w:hAnsi="Times New Roman" w:cs="Times New Roman"/>
          <w:color w:val="auto"/>
        </w:rPr>
        <w:t>–</w:t>
      </w:r>
      <w:r w:rsidR="00A04F42" w:rsidRPr="00461CE5">
        <w:rPr>
          <w:rFonts w:ascii="Times New Roman" w:hAnsi="Times New Roman" w:cs="Times New Roman"/>
          <w:color w:val="auto"/>
        </w:rPr>
        <w:t xml:space="preserve"> </w:t>
      </w:r>
      <w:r w:rsidR="00461CE5">
        <w:rPr>
          <w:rFonts w:ascii="Times New Roman" w:hAnsi="Times New Roman" w:cs="Times New Roman"/>
          <w:color w:val="auto"/>
        </w:rPr>
        <w:t>lody</w:t>
      </w:r>
      <w:r w:rsidR="0016373A">
        <w:rPr>
          <w:rFonts w:ascii="Times New Roman" w:hAnsi="Times New Roman" w:cs="Times New Roman"/>
          <w:color w:val="auto"/>
        </w:rPr>
        <w:t xml:space="preserve"> </w:t>
      </w:r>
      <w:r w:rsidR="005B4319" w:rsidRPr="00461CE5">
        <w:rPr>
          <w:rFonts w:ascii="Times New Roman" w:hAnsi="Times New Roman" w:cs="Times New Roman"/>
          <w:color w:val="auto"/>
        </w:rPr>
        <w:t>„</w:t>
      </w:r>
      <w:proofErr w:type="spellStart"/>
      <w:r w:rsidR="007535F1" w:rsidRPr="00461CE5">
        <w:rPr>
          <w:rFonts w:ascii="Times New Roman" w:hAnsi="Times New Roman" w:cs="Times New Roman"/>
          <w:bCs/>
          <w:color w:val="auto"/>
        </w:rPr>
        <w:t>Häagen</w:t>
      </w:r>
      <w:proofErr w:type="spellEnd"/>
      <w:r w:rsidR="007535F1" w:rsidRPr="00461CE5">
        <w:rPr>
          <w:rFonts w:ascii="Times New Roman" w:hAnsi="Times New Roman" w:cs="Times New Roman"/>
          <w:bCs/>
          <w:color w:val="auto"/>
        </w:rPr>
        <w:t xml:space="preserve"> </w:t>
      </w:r>
      <w:proofErr w:type="spellStart"/>
      <w:r w:rsidR="007535F1" w:rsidRPr="00461CE5">
        <w:rPr>
          <w:rFonts w:ascii="Times New Roman" w:hAnsi="Times New Roman" w:cs="Times New Roman"/>
          <w:bCs/>
          <w:color w:val="auto"/>
        </w:rPr>
        <w:t>Dazs</w:t>
      </w:r>
      <w:proofErr w:type="spellEnd"/>
      <w:r w:rsidR="007535F1" w:rsidRPr="00461CE5">
        <w:rPr>
          <w:rFonts w:ascii="Times New Roman" w:hAnsi="Times New Roman" w:cs="Times New Roman"/>
          <w:bCs/>
          <w:color w:val="auto"/>
        </w:rPr>
        <w:t xml:space="preserve"> </w:t>
      </w:r>
      <w:proofErr w:type="spellStart"/>
      <w:r w:rsidR="007535F1" w:rsidRPr="00461CE5">
        <w:rPr>
          <w:rFonts w:ascii="Times New Roman" w:hAnsi="Times New Roman" w:cs="Times New Roman"/>
          <w:bCs/>
          <w:color w:val="auto"/>
        </w:rPr>
        <w:t>Macadamia</w:t>
      </w:r>
      <w:proofErr w:type="spellEnd"/>
      <w:r w:rsidR="007535F1" w:rsidRPr="00461CE5">
        <w:rPr>
          <w:rFonts w:ascii="Times New Roman" w:hAnsi="Times New Roman" w:cs="Times New Roman"/>
          <w:bCs/>
          <w:color w:val="auto"/>
        </w:rPr>
        <w:t xml:space="preserve"> Nut Brittle</w:t>
      </w:r>
      <w:r w:rsidR="005B4319" w:rsidRPr="00461CE5">
        <w:rPr>
          <w:rFonts w:ascii="Times New Roman" w:hAnsi="Times New Roman" w:cs="Times New Roman"/>
          <w:color w:val="auto"/>
        </w:rPr>
        <w:t>”</w:t>
      </w:r>
      <w:r w:rsidR="00240E2E" w:rsidRPr="00461CE5">
        <w:rPr>
          <w:rFonts w:ascii="Times New Roman" w:hAnsi="Times New Roman" w:cs="Times New Roman"/>
          <w:color w:val="auto"/>
        </w:rPr>
        <w:t xml:space="preserve">, </w:t>
      </w:r>
      <w:r w:rsidR="007535F1" w:rsidRPr="00461CE5">
        <w:rPr>
          <w:rFonts w:ascii="Times New Roman" w:hAnsi="Times New Roman" w:cs="Times New Roman"/>
          <w:bCs/>
          <w:color w:val="auto"/>
        </w:rPr>
        <w:t>500ml</w:t>
      </w:r>
      <w:r w:rsidR="00541226" w:rsidRPr="00461CE5">
        <w:rPr>
          <w:rFonts w:ascii="Times New Roman" w:hAnsi="Times New Roman" w:cs="Times New Roman"/>
          <w:bCs/>
          <w:color w:val="auto"/>
        </w:rPr>
        <w:t xml:space="preserve"> </w:t>
      </w:r>
      <w:r w:rsidR="00541226" w:rsidRPr="00461CE5">
        <w:rPr>
          <w:rFonts w:ascii="Times New Roman" w:hAnsi="Times New Roman" w:cs="Times New Roman"/>
          <w:color w:val="auto"/>
        </w:rPr>
        <w:t>sprzeda</w:t>
      </w:r>
      <w:r w:rsidR="00461CE5">
        <w:rPr>
          <w:rFonts w:ascii="Times New Roman" w:hAnsi="Times New Roman" w:cs="Times New Roman"/>
          <w:color w:val="auto"/>
        </w:rPr>
        <w:t>wane</w:t>
      </w:r>
      <w:r w:rsidR="00541226" w:rsidRPr="00461CE5">
        <w:rPr>
          <w:rFonts w:ascii="Times New Roman" w:hAnsi="Times New Roman" w:cs="Times New Roman"/>
          <w:color w:val="auto"/>
        </w:rPr>
        <w:t xml:space="preserve"> w Polsce w okresie 5 marca – 6 czerwca 2015</w:t>
      </w:r>
    </w:p>
    <w:p w:rsidR="00D75921" w:rsidRPr="00E058E3" w:rsidRDefault="007535F1" w:rsidP="001C1EFD">
      <w:pPr>
        <w:spacing w:line="360" w:lineRule="auto"/>
        <w:jc w:val="both"/>
      </w:pPr>
      <w:r w:rsidRPr="00E058E3">
        <w:t xml:space="preserve">Z informacji przekazanych przez </w:t>
      </w:r>
      <w:r w:rsidRPr="00E058E3">
        <w:rPr>
          <w:bCs/>
        </w:rPr>
        <w:t>General Mills GmbH wynika, że nieprawidłowo oznakowane produkty sprzedano w Polsce w okresie od 5 marca do 6 czerwca 2015 r. Jedynie lody Häagen Dazs Macadamia Nut Brittle 500ml niewłaściwie oznakowane, czyli te które nie zawierają informacji na etykiecie o obecności orzechów, podlegają wycofaniu z rynku.</w:t>
      </w:r>
    </w:p>
    <w:p w:rsidR="00417AB3" w:rsidRPr="00E058E3" w:rsidRDefault="00417AB3" w:rsidP="00D12E3A">
      <w:pPr>
        <w:spacing w:line="360" w:lineRule="auto"/>
        <w:jc w:val="both"/>
      </w:pPr>
    </w:p>
    <w:p w:rsidR="00541226" w:rsidRPr="00E058E3" w:rsidRDefault="00541226" w:rsidP="00D12E3A">
      <w:pPr>
        <w:spacing w:line="360" w:lineRule="auto"/>
        <w:jc w:val="both"/>
      </w:pPr>
      <w:r w:rsidRPr="00E058E3">
        <w:t xml:space="preserve">Wycofanie z rynku nie dotyczy żadnych innych produktów </w:t>
      </w:r>
      <w:r w:rsidRPr="00E058E3">
        <w:rPr>
          <w:bCs/>
        </w:rPr>
        <w:t xml:space="preserve">Häagen Dazs sprzedanych w Polsce lub gdziekolwiek indziej. </w:t>
      </w:r>
    </w:p>
    <w:p w:rsidR="00240E2E" w:rsidRDefault="00240E2E" w:rsidP="00D12E3A">
      <w:pPr>
        <w:spacing w:line="360" w:lineRule="auto"/>
        <w:jc w:val="both"/>
      </w:pPr>
    </w:p>
    <w:p w:rsidR="0016373A" w:rsidRDefault="0016373A" w:rsidP="00D12E3A">
      <w:pPr>
        <w:spacing w:line="360" w:lineRule="auto"/>
        <w:jc w:val="both"/>
      </w:pPr>
    </w:p>
    <w:p w:rsidR="0016373A" w:rsidRDefault="0016373A" w:rsidP="00D12E3A">
      <w:pPr>
        <w:spacing w:line="360" w:lineRule="auto"/>
        <w:jc w:val="both"/>
      </w:pPr>
    </w:p>
    <w:p w:rsidR="0016373A" w:rsidRPr="00E058E3" w:rsidRDefault="0016373A" w:rsidP="00D12E3A">
      <w:pPr>
        <w:spacing w:line="360" w:lineRule="auto"/>
        <w:jc w:val="both"/>
      </w:pPr>
    </w:p>
    <w:p w:rsidR="00417AB3" w:rsidRPr="00E058E3" w:rsidRDefault="00417AB3" w:rsidP="00D12E3A">
      <w:pPr>
        <w:spacing w:line="360" w:lineRule="auto"/>
        <w:jc w:val="both"/>
      </w:pPr>
      <w:r w:rsidRPr="00E058E3">
        <w:rPr>
          <w:u w:val="single"/>
        </w:rPr>
        <w:lastRenderedPageBreak/>
        <w:t xml:space="preserve">Działania podjęte przez </w:t>
      </w:r>
      <w:r w:rsidR="00DE7190" w:rsidRPr="00E058E3">
        <w:rPr>
          <w:u w:val="single"/>
        </w:rPr>
        <w:t>przedsiębiorc</w:t>
      </w:r>
      <w:r w:rsidR="00A10FC1" w:rsidRPr="00E058E3">
        <w:rPr>
          <w:u w:val="single"/>
        </w:rPr>
        <w:t>ę</w:t>
      </w:r>
      <w:r w:rsidR="00DE7190" w:rsidRPr="00E058E3">
        <w:rPr>
          <w:u w:val="single"/>
        </w:rPr>
        <w:t xml:space="preserve"> i organy urzędowej kontroli</w:t>
      </w:r>
      <w:r w:rsidRPr="00E058E3">
        <w:t>:</w:t>
      </w:r>
    </w:p>
    <w:p w:rsidR="00541226" w:rsidRPr="00E058E3" w:rsidRDefault="00541226" w:rsidP="00D12E3A">
      <w:pPr>
        <w:spacing w:line="360" w:lineRule="auto"/>
        <w:jc w:val="both"/>
        <w:rPr>
          <w:highlight w:val="yellow"/>
        </w:rPr>
      </w:pPr>
    </w:p>
    <w:p w:rsidR="00541226" w:rsidRPr="00E058E3" w:rsidRDefault="00461CE5" w:rsidP="00541226">
      <w:pPr>
        <w:spacing w:line="360" w:lineRule="auto"/>
        <w:jc w:val="both"/>
        <w:rPr>
          <w:bCs/>
        </w:rPr>
      </w:pPr>
      <w:r>
        <w:t>F</w:t>
      </w:r>
      <w:r w:rsidR="00DE37BA" w:rsidRPr="00E058E3">
        <w:t xml:space="preserve">irma </w:t>
      </w:r>
      <w:r w:rsidR="00541226" w:rsidRPr="00E058E3">
        <w:t xml:space="preserve">General Mills opublikowała w Gazecie Wyborczej informację o wycofaniu produktu i poprosiła przedstawicieli sieci sprzedaży </w:t>
      </w:r>
      <w:r w:rsidR="00541226" w:rsidRPr="00E058E3">
        <w:rPr>
          <w:bCs/>
        </w:rPr>
        <w:t>o umieszczenie w sklepach, w których sprzedawany był produkt</w:t>
      </w:r>
      <w:r w:rsidR="00DE37BA" w:rsidRPr="00E058E3">
        <w:rPr>
          <w:bCs/>
        </w:rPr>
        <w:t>,</w:t>
      </w:r>
      <w:r w:rsidR="00541226" w:rsidRPr="00E058E3">
        <w:rPr>
          <w:bCs/>
        </w:rPr>
        <w:t xml:space="preserve"> informacji dla klientów o wycofaniu produktu z rynku. </w:t>
      </w:r>
    </w:p>
    <w:p w:rsidR="00541226" w:rsidRPr="00E058E3" w:rsidRDefault="00541226" w:rsidP="00541226">
      <w:pPr>
        <w:spacing w:line="360" w:lineRule="auto"/>
        <w:jc w:val="both"/>
        <w:rPr>
          <w:bCs/>
        </w:rPr>
      </w:pPr>
      <w:r w:rsidRPr="00E058E3">
        <w:rPr>
          <w:bCs/>
        </w:rPr>
        <w:t xml:space="preserve">General Mills GmbH współpracuje także ze swoim dystrybutorem nad usunięciem wskazanego produktu z dystrybucji.  </w:t>
      </w:r>
    </w:p>
    <w:p w:rsidR="00541226" w:rsidRPr="00E058E3" w:rsidRDefault="00541226" w:rsidP="00541226">
      <w:pPr>
        <w:spacing w:line="360" w:lineRule="auto"/>
        <w:jc w:val="both"/>
        <w:rPr>
          <w:rFonts w:eastAsia="Calibri"/>
        </w:rPr>
      </w:pPr>
      <w:r w:rsidRPr="00E058E3">
        <w:rPr>
          <w:bCs/>
        </w:rPr>
        <w:t xml:space="preserve">Organy Państwowej Inspekcji Sanitarnej nadzorują działania prowadzone przez </w:t>
      </w:r>
      <w:r w:rsidR="00461CE5">
        <w:rPr>
          <w:bCs/>
        </w:rPr>
        <w:t>firmę</w:t>
      </w:r>
      <w:r w:rsidRPr="00E058E3">
        <w:rPr>
          <w:rFonts w:eastAsia="Calibri"/>
        </w:rPr>
        <w:t>.</w:t>
      </w:r>
    </w:p>
    <w:p w:rsidR="00541226" w:rsidRPr="00E058E3" w:rsidRDefault="00541226" w:rsidP="00D12E3A">
      <w:pPr>
        <w:spacing w:line="360" w:lineRule="auto"/>
        <w:jc w:val="both"/>
      </w:pPr>
    </w:p>
    <w:p w:rsidR="00240E2E" w:rsidRPr="00E058E3" w:rsidRDefault="00240E2E" w:rsidP="00D12E3A">
      <w:pPr>
        <w:spacing w:line="360" w:lineRule="auto"/>
        <w:jc w:val="both"/>
      </w:pPr>
    </w:p>
    <w:p w:rsidR="00AF012A" w:rsidRPr="00E058E3" w:rsidRDefault="00E764D5" w:rsidP="00070C16">
      <w:pPr>
        <w:spacing w:line="360" w:lineRule="auto"/>
        <w:jc w:val="both"/>
      </w:pPr>
      <w:r w:rsidRPr="00E058E3">
        <w:rPr>
          <w:bCs/>
        </w:rPr>
        <w:t xml:space="preserve">W przypadku pytań lub uwag, należy kontaktować się z General Mills - </w:t>
      </w:r>
      <w:hyperlink r:id="rId4" w:history="1">
        <w:r w:rsidRPr="00E058E3">
          <w:rPr>
            <w:rStyle w:val="Hipercze"/>
            <w:bCs/>
            <w:color w:val="auto"/>
          </w:rPr>
          <w:t>CS.CentralEurope@genmills.com</w:t>
        </w:r>
      </w:hyperlink>
      <w:r w:rsidRPr="00E058E3">
        <w:rPr>
          <w:bCs/>
        </w:rPr>
        <w:t xml:space="preserve"> lub General Mills GmbH, Osterbekstr. 90c, 22083 Hamburg, Germany</w:t>
      </w:r>
      <w:r w:rsidR="00E762C9" w:rsidRPr="00E058E3">
        <w:t>.</w:t>
      </w:r>
    </w:p>
    <w:p w:rsidR="00240E2E" w:rsidRPr="00E058E3" w:rsidRDefault="00240E2E" w:rsidP="006C1DAC">
      <w:pPr>
        <w:spacing w:line="360" w:lineRule="auto"/>
        <w:jc w:val="center"/>
        <w:rPr>
          <w:u w:val="single"/>
        </w:rPr>
      </w:pPr>
    </w:p>
    <w:p w:rsidR="006C1DAC" w:rsidRPr="00E058E3" w:rsidRDefault="006C1DAC" w:rsidP="006C1DAC">
      <w:pPr>
        <w:spacing w:line="360" w:lineRule="auto"/>
        <w:jc w:val="center"/>
        <w:rPr>
          <w:u w:val="single"/>
        </w:rPr>
      </w:pPr>
      <w:r w:rsidRPr="00E058E3">
        <w:rPr>
          <w:u w:val="single"/>
        </w:rPr>
        <w:t>Zdjęcia produktu:</w:t>
      </w:r>
    </w:p>
    <w:p w:rsidR="006C1DAC" w:rsidRPr="00E058E3" w:rsidRDefault="006C1DAC" w:rsidP="00240E2E">
      <w:pPr>
        <w:spacing w:line="360" w:lineRule="auto"/>
        <w:jc w:val="center"/>
      </w:pPr>
    </w:p>
    <w:p w:rsidR="00240E2E" w:rsidRDefault="00240E2E" w:rsidP="00070C16">
      <w:pPr>
        <w:spacing w:line="360" w:lineRule="auto"/>
        <w:jc w:val="both"/>
      </w:pPr>
    </w:p>
    <w:p w:rsidR="00240E2E" w:rsidRDefault="00E764D5" w:rsidP="00240E2E">
      <w:pPr>
        <w:spacing w:line="360" w:lineRule="auto"/>
        <w:jc w:val="center"/>
      </w:pPr>
      <w:r w:rsidRPr="00E764D5">
        <w:rPr>
          <w:noProof/>
        </w:rPr>
        <w:drawing>
          <wp:inline distT="0" distB="0" distL="0" distR="0">
            <wp:extent cx="3752785" cy="4684144"/>
            <wp:effectExtent l="0" t="0" r="635" b="254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511" cy="47075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64D5" w:rsidRPr="008447BA" w:rsidRDefault="00E764D5" w:rsidP="00240E2E">
      <w:pPr>
        <w:spacing w:line="360" w:lineRule="auto"/>
        <w:jc w:val="center"/>
      </w:pPr>
      <w:r w:rsidRPr="00E764D5">
        <w:rPr>
          <w:noProof/>
        </w:rPr>
        <w:lastRenderedPageBreak/>
        <w:drawing>
          <wp:inline distT="0" distB="0" distL="0" distR="0">
            <wp:extent cx="4365170" cy="5971237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5413" cy="59715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764D5" w:rsidRPr="008447BA" w:rsidSect="00521F7D">
      <w:pgSz w:w="11909" w:h="16834"/>
      <w:pgMar w:top="1129" w:right="1418" w:bottom="1207" w:left="1418" w:header="709" w:footer="709" w:gutter="0"/>
      <w:cols w:space="708"/>
      <w:noEndnote/>
      <w:docGrid w:linePitch="7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57"/>
  <w:drawingGridVerticalSpacing w:val="39"/>
  <w:displayVerticalDrawingGridEvery w:val="2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923BE"/>
    <w:rsid w:val="00010359"/>
    <w:rsid w:val="00032255"/>
    <w:rsid w:val="00070C16"/>
    <w:rsid w:val="000A2CC8"/>
    <w:rsid w:val="00101A12"/>
    <w:rsid w:val="00156662"/>
    <w:rsid w:val="0016373A"/>
    <w:rsid w:val="0017494B"/>
    <w:rsid w:val="001779A8"/>
    <w:rsid w:val="001B6A8E"/>
    <w:rsid w:val="001C1EFD"/>
    <w:rsid w:val="001D186F"/>
    <w:rsid w:val="00203187"/>
    <w:rsid w:val="00221729"/>
    <w:rsid w:val="00240E2E"/>
    <w:rsid w:val="00253C92"/>
    <w:rsid w:val="00320BEA"/>
    <w:rsid w:val="003264C0"/>
    <w:rsid w:val="00347DF1"/>
    <w:rsid w:val="0039146C"/>
    <w:rsid w:val="00394094"/>
    <w:rsid w:val="00396C91"/>
    <w:rsid w:val="00400C52"/>
    <w:rsid w:val="00417AB3"/>
    <w:rsid w:val="00461CE5"/>
    <w:rsid w:val="004D530C"/>
    <w:rsid w:val="004F5219"/>
    <w:rsid w:val="00521F7D"/>
    <w:rsid w:val="00524485"/>
    <w:rsid w:val="0053612B"/>
    <w:rsid w:val="00541226"/>
    <w:rsid w:val="00543583"/>
    <w:rsid w:val="0055469E"/>
    <w:rsid w:val="00567733"/>
    <w:rsid w:val="00581ABA"/>
    <w:rsid w:val="005B4319"/>
    <w:rsid w:val="005F1429"/>
    <w:rsid w:val="006152DA"/>
    <w:rsid w:val="00630AC7"/>
    <w:rsid w:val="00640BDD"/>
    <w:rsid w:val="006538DC"/>
    <w:rsid w:val="006B3E52"/>
    <w:rsid w:val="006C1DAC"/>
    <w:rsid w:val="006D5EF4"/>
    <w:rsid w:val="00732E3C"/>
    <w:rsid w:val="007535F1"/>
    <w:rsid w:val="00785AE1"/>
    <w:rsid w:val="008037C1"/>
    <w:rsid w:val="008447BA"/>
    <w:rsid w:val="00867E10"/>
    <w:rsid w:val="00870585"/>
    <w:rsid w:val="008870C4"/>
    <w:rsid w:val="008D170C"/>
    <w:rsid w:val="00927E28"/>
    <w:rsid w:val="00964EA0"/>
    <w:rsid w:val="00992F39"/>
    <w:rsid w:val="009E69BE"/>
    <w:rsid w:val="009F2D36"/>
    <w:rsid w:val="00A04F42"/>
    <w:rsid w:val="00A078FA"/>
    <w:rsid w:val="00A10FC1"/>
    <w:rsid w:val="00A231B0"/>
    <w:rsid w:val="00A53279"/>
    <w:rsid w:val="00A844FA"/>
    <w:rsid w:val="00AE3E9B"/>
    <w:rsid w:val="00AF012A"/>
    <w:rsid w:val="00B0502B"/>
    <w:rsid w:val="00B24302"/>
    <w:rsid w:val="00BA1943"/>
    <w:rsid w:val="00BD43B0"/>
    <w:rsid w:val="00BE2E0A"/>
    <w:rsid w:val="00C06154"/>
    <w:rsid w:val="00C16811"/>
    <w:rsid w:val="00C51F09"/>
    <w:rsid w:val="00C53A90"/>
    <w:rsid w:val="00C53FDF"/>
    <w:rsid w:val="00C94BFC"/>
    <w:rsid w:val="00C972BC"/>
    <w:rsid w:val="00CB3616"/>
    <w:rsid w:val="00CC0AA7"/>
    <w:rsid w:val="00D058EB"/>
    <w:rsid w:val="00D12E3A"/>
    <w:rsid w:val="00D32D0C"/>
    <w:rsid w:val="00D75921"/>
    <w:rsid w:val="00DE1601"/>
    <w:rsid w:val="00DE37BA"/>
    <w:rsid w:val="00DE7190"/>
    <w:rsid w:val="00E058E3"/>
    <w:rsid w:val="00E710B4"/>
    <w:rsid w:val="00E762C9"/>
    <w:rsid w:val="00E764D5"/>
    <w:rsid w:val="00EA23CB"/>
    <w:rsid w:val="00EB1FCA"/>
    <w:rsid w:val="00EB55C2"/>
    <w:rsid w:val="00EF0151"/>
    <w:rsid w:val="00F40BB3"/>
    <w:rsid w:val="00F923BE"/>
    <w:rsid w:val="00FA6ACA"/>
    <w:rsid w:val="00FA7E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3D6836C-9C27-4C65-8935-A2A2CFC74A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leftread">
    <w:name w:val="left read"/>
    <w:basedOn w:val="Domylnaczcionkaakapitu"/>
    <w:rsid w:val="006D5EF4"/>
  </w:style>
  <w:style w:type="character" w:customStyle="1" w:styleId="headercontent">
    <w:name w:val="headercontent"/>
    <w:rsid w:val="00D058EB"/>
  </w:style>
  <w:style w:type="character" w:customStyle="1" w:styleId="second">
    <w:name w:val="second"/>
    <w:rsid w:val="00D058EB"/>
  </w:style>
  <w:style w:type="paragraph" w:styleId="Tekstdymka">
    <w:name w:val="Balloon Text"/>
    <w:basedOn w:val="Normalny"/>
    <w:link w:val="TekstdymkaZnak"/>
    <w:uiPriority w:val="99"/>
    <w:semiHidden/>
    <w:unhideWhenUsed/>
    <w:rsid w:val="00C94BFC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link w:val="Tekstdymka"/>
    <w:uiPriority w:val="99"/>
    <w:semiHidden/>
    <w:rsid w:val="00C94BFC"/>
    <w:rPr>
      <w:rFonts w:ascii="Segoe UI" w:hAnsi="Segoe UI" w:cs="Segoe UI"/>
      <w:sz w:val="18"/>
      <w:szCs w:val="18"/>
    </w:rPr>
  </w:style>
  <w:style w:type="paragraph" w:customStyle="1" w:styleId="ZnakZnakZnakZnak">
    <w:name w:val="Znak Znak Znak Znak"/>
    <w:basedOn w:val="Normalny"/>
    <w:rsid w:val="006C1DAC"/>
  </w:style>
  <w:style w:type="paragraph" w:customStyle="1" w:styleId="Default">
    <w:name w:val="Default"/>
    <w:rsid w:val="00DE1601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styleId="Hipercze">
    <w:name w:val="Hyperlink"/>
    <w:basedOn w:val="Domylnaczcionkaakapitu"/>
    <w:uiPriority w:val="99"/>
    <w:unhideWhenUsed/>
    <w:rsid w:val="00E764D5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4" Type="http://schemas.openxmlformats.org/officeDocument/2006/relationships/hyperlink" Target="mailto:CS.CentralEurope@genmills.com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328</Words>
  <Characters>2101</Characters>
  <Application>Microsoft Office Word</Application>
  <DocSecurity>0</DocSecurity>
  <Lines>17</Lines>
  <Paragraphs>4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Ostrzeżenia o niebezpiecznej żywności</vt:lpstr>
      <vt:lpstr>Ostrzeżenia o niebezpiecznej żywności</vt:lpstr>
    </vt:vector>
  </TitlesOfParts>
  <Company>GIS</Company>
  <LinksUpToDate>false</LinksUpToDate>
  <CharactersWithSpaces>2425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Ostrzeżenia o niebezpiecznej żywności</dc:title>
  <dc:subject/>
  <dc:creator>mkaluza</dc:creator>
  <cp:keywords/>
  <dc:description/>
  <cp:lastModifiedBy>Maciej Kaluza</cp:lastModifiedBy>
  <cp:revision>3</cp:revision>
  <cp:lastPrinted>2015-06-09T10:37:00Z</cp:lastPrinted>
  <dcterms:created xsi:type="dcterms:W3CDTF">2015-06-11T07:21:00Z</dcterms:created>
  <dcterms:modified xsi:type="dcterms:W3CDTF">2015-06-11T08:48:00Z</dcterms:modified>
</cp:coreProperties>
</file>